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ARNOLD FRANCES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GENERATE BIOMEDICINES,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SOUTH STREET,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SOMERVILLE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Generate Biomedicines, Inc.</w:t>
              </w:r>
            </w:hyperlink>
            <w:r>
              <w:rPr/>
              <w:t xml:space="preserve"> [ </w:t>
            </w:r>
            <w:r>
              <w:rPr>
                <w:rFonts w:ascii="Times;serif" w:hAnsi="Times;serif"/>
                <w:color w:val="0000FF"/>
                <w:sz w:val="24"/>
                <w:shd w:fill="FFFFFF" w:val="clear"/>
              </w:rPr>
              <w:t>GENB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8"/>
        <w:gridCol w:w="922"/>
        <w:gridCol w:w="791"/>
        <w:gridCol w:w="612"/>
        <w:gridCol w:w="343"/>
        <w:gridCol w:w="820"/>
        <w:gridCol w:w="428"/>
        <w:gridCol w:w="898"/>
        <w:gridCol w:w="1128"/>
        <w:gridCol w:w="974"/>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16.002</w:t>
            </w:r>
            <w:r>
              <w:rPr>
                <w:rFonts w:ascii="Times;serif" w:hAnsi="Times;serif"/>
                <w:color w:val="008000"/>
                <w:position w:val="7"/>
                <w:sz w:val="16"/>
                <w:sz w:val="20"/>
                <w:shd w:fill="FFFFFF" w:val="clear"/>
              </w:rPr>
              <w:t>(2)</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231,472</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232,472</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Frances Arnold 2010 Irrevocable Trust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a Rule 10b5-1 trading plan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$16.00 to $16.01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disclaims beneficial ownership of such shares for purposes of Section 16 of the Securities Exchange Act of 1934, as amended (the "Exchange Act"), except to the extent of her pecuniary interest therein, if any. This report shall not be deemed an admission that she is a beneficial owner of such shares for the purpose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Wolf,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65419" TargetMode="External"/><Relationship Id="rId5" Type="http://schemas.openxmlformats.org/officeDocument/2006/relationships/hyperlink" Target="http://www.sec.gov/cgi-bin/browse-edgar?action=getcompany&amp;CIK=00021007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744</Words>
  <Characters>3991</Characters>
  <CharactersWithSpaces>4662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